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2963" w14:textId="77777777" w:rsidR="007B66FA" w:rsidRPr="007B66FA" w:rsidRDefault="007B66FA" w:rsidP="007B66FA">
      <w:r w:rsidRPr="007B66FA">
        <w:rPr>
          <w:b/>
          <w:bCs/>
        </w:rPr>
        <w:t>1.      Реквизиты документа, утверждающего учетную политику.</w:t>
      </w:r>
    </w:p>
    <w:p w14:paraId="0D4673B0" w14:textId="77777777" w:rsidR="007B66FA" w:rsidRPr="007B66FA" w:rsidRDefault="007B66FA" w:rsidP="007B66FA">
      <w:r w:rsidRPr="007B66FA">
        <w:t xml:space="preserve">Учетная политика на 2019 год </w:t>
      </w:r>
      <w:proofErr w:type="gramStart"/>
      <w:r w:rsidRPr="007B66FA">
        <w:t>разработана  бухгалтером</w:t>
      </w:r>
      <w:proofErr w:type="gramEnd"/>
      <w:r w:rsidRPr="007B66FA">
        <w:t xml:space="preserve"> автономного учреждения и утверждена  приказом от 21 октября 2019 года № 9-П руководителя  учреждения.</w:t>
      </w:r>
    </w:p>
    <w:p w14:paraId="62D0EDAB" w14:textId="77777777" w:rsidR="007B66FA" w:rsidRPr="007B66FA" w:rsidRDefault="007B66FA" w:rsidP="007B66FA">
      <w:r w:rsidRPr="007B66FA">
        <w:rPr>
          <w:b/>
          <w:bCs/>
        </w:rPr>
        <w:t>2.     Организация бухгалтерского учета.</w:t>
      </w:r>
    </w:p>
    <w:p w14:paraId="043AA4F2" w14:textId="77777777" w:rsidR="007B66FA" w:rsidRPr="007B66FA" w:rsidRDefault="007B66FA" w:rsidP="007B66FA">
      <w:r w:rsidRPr="007B66FA">
        <w:t xml:space="preserve">Бухгалтерский учет ведется бухгалтером, руководствуясь в </w:t>
      </w:r>
      <w:proofErr w:type="gramStart"/>
      <w:r w:rsidRPr="007B66FA">
        <w:t>работе  должностной</w:t>
      </w:r>
      <w:proofErr w:type="gramEnd"/>
      <w:r w:rsidRPr="007B66FA">
        <w:t xml:space="preserve"> инструкцией. Ответственным за ведение бухгалтерского учета в учреждении </w:t>
      </w:r>
      <w:proofErr w:type="gramStart"/>
      <w:r w:rsidRPr="007B66FA">
        <w:t>является  бухгалтер</w:t>
      </w:r>
      <w:proofErr w:type="gramEnd"/>
      <w:r w:rsidRPr="007B66FA">
        <w:t>.</w:t>
      </w:r>
    </w:p>
    <w:p w14:paraId="58D69A00" w14:textId="77777777" w:rsidR="007B66FA" w:rsidRPr="007B66FA" w:rsidRDefault="007B66FA" w:rsidP="007B66FA">
      <w:proofErr w:type="gramStart"/>
      <w:r w:rsidRPr="007B66FA">
        <w:t>Основание :</w:t>
      </w:r>
      <w:proofErr w:type="gramEnd"/>
      <w:r w:rsidRPr="007B66FA">
        <w:t xml:space="preserve"> часть 3 статьи 7 Закона от 06.12.2011 №403-ФЗ,пункт 4 Инструкции к  Единому плану счетов №157н.В учреждении действуют постоянные комиссии:</w:t>
      </w:r>
      <w:r w:rsidRPr="007B66FA">
        <w:br/>
        <w:t>– комиссия по поступлению и выбытию активов;</w:t>
      </w:r>
    </w:p>
    <w:p w14:paraId="3BDED3C8" w14:textId="77777777" w:rsidR="007B66FA" w:rsidRPr="007B66FA" w:rsidRDefault="007B66FA" w:rsidP="007B66FA">
      <w:r w:rsidRPr="007B66FA">
        <w:t>Учреждение публикует основные положения учетной политики на своем официальном сайте путем размещения обобщенной информации, которая содержит основные положения (перечень основных способов ведения учета (особенностей)), установленные документами учетной политики, с указанием их реквизитов (без размещения копий самих актов).</w:t>
      </w:r>
    </w:p>
    <w:p w14:paraId="6E6F7B11" w14:textId="77777777" w:rsidR="007B66FA" w:rsidRPr="007B66FA" w:rsidRDefault="007B66FA" w:rsidP="007B66FA">
      <w:r w:rsidRPr="007B66FA">
        <w:t>При внесении изменений в учетную политику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45D12C18" w14:textId="77777777" w:rsidR="007B66FA" w:rsidRPr="007B66FA" w:rsidRDefault="007B66FA" w:rsidP="007B66FA">
      <w:r w:rsidRPr="007B66FA">
        <w:rPr>
          <w:i/>
          <w:iCs/>
        </w:rPr>
        <w:t xml:space="preserve">Основание: </w:t>
      </w:r>
      <w:proofErr w:type="gramStart"/>
      <w:r w:rsidRPr="007B66FA">
        <w:rPr>
          <w:i/>
          <w:iCs/>
        </w:rPr>
        <w:t>пункты  17</w:t>
      </w:r>
      <w:proofErr w:type="gramEnd"/>
      <w:r w:rsidRPr="007B66FA">
        <w:rPr>
          <w:i/>
          <w:iCs/>
        </w:rPr>
        <w:t>,20,32 СГС «Учетная политика, оценочные значения и ошибки»</w:t>
      </w:r>
    </w:p>
    <w:p w14:paraId="0495645F" w14:textId="77777777" w:rsidR="007B66FA" w:rsidRPr="007B66FA" w:rsidRDefault="007B66FA" w:rsidP="007B66FA">
      <w:r w:rsidRPr="007B66FA">
        <w:rPr>
          <w:b/>
          <w:bCs/>
        </w:rPr>
        <w:t>3. Технология обработки учетной информаци</w:t>
      </w:r>
      <w:r w:rsidRPr="007B66FA">
        <w:t>и</w:t>
      </w:r>
    </w:p>
    <w:p w14:paraId="72384735" w14:textId="77777777" w:rsidR="007B66FA" w:rsidRPr="007B66FA" w:rsidRDefault="007B66FA" w:rsidP="007B66FA">
      <w:pPr>
        <w:numPr>
          <w:ilvl w:val="0"/>
          <w:numId w:val="1"/>
        </w:numPr>
      </w:pPr>
      <w:proofErr w:type="gramStart"/>
      <w:r w:rsidRPr="007B66FA">
        <w:t>Зарплата  и</w:t>
      </w:r>
      <w:proofErr w:type="gramEnd"/>
      <w:r w:rsidRPr="007B66FA">
        <w:t xml:space="preserve"> кадры государственного автономного учреждения 8 базовая версия.</w:t>
      </w:r>
    </w:p>
    <w:p w14:paraId="7410AD05" w14:textId="77777777" w:rsidR="007B66FA" w:rsidRPr="007B66FA" w:rsidRDefault="007B66FA" w:rsidP="007B66FA">
      <w:r w:rsidRPr="007B66FA">
        <w:rPr>
          <w:i/>
          <w:iCs/>
        </w:rPr>
        <w:t>  Основание: пункт 6 Инструкции к Единому плану счетов № 157н.</w:t>
      </w:r>
    </w:p>
    <w:p w14:paraId="3ECA80E4" w14:textId="77777777" w:rsidR="007B66FA" w:rsidRPr="007B66FA" w:rsidRDefault="007B66FA" w:rsidP="007B66FA">
      <w:pPr>
        <w:numPr>
          <w:ilvl w:val="0"/>
          <w:numId w:val="2"/>
        </w:numPr>
      </w:pPr>
      <w:r w:rsidRPr="007B66FA"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79BF9034" w14:textId="77777777" w:rsidR="007B66FA" w:rsidRPr="007B66FA" w:rsidRDefault="007B66FA" w:rsidP="007B66FA">
      <w:pPr>
        <w:numPr>
          <w:ilvl w:val="0"/>
          <w:numId w:val="3"/>
        </w:numPr>
      </w:pPr>
      <w:r w:rsidRPr="007B66FA">
        <w:t>Система электронного документооборота с органом Казначейства Департамента        финансов Брянской области;</w:t>
      </w:r>
    </w:p>
    <w:p w14:paraId="450C11E0" w14:textId="77777777" w:rsidR="007B66FA" w:rsidRPr="007B66FA" w:rsidRDefault="007B66FA" w:rsidP="007B66FA">
      <w:pPr>
        <w:numPr>
          <w:ilvl w:val="0"/>
          <w:numId w:val="4"/>
        </w:numPr>
      </w:pPr>
      <w:r w:rsidRPr="007B66FA">
        <w:t>размещение информации о деятельности учреждения на официальном сайте Учреждения;</w:t>
      </w:r>
    </w:p>
    <w:p w14:paraId="7B16A94B" w14:textId="77777777" w:rsidR="007B66FA" w:rsidRPr="007B66FA" w:rsidRDefault="007B66FA" w:rsidP="007B66FA">
      <w:pPr>
        <w:numPr>
          <w:ilvl w:val="0"/>
          <w:numId w:val="5"/>
        </w:numPr>
      </w:pPr>
      <w:r w:rsidRPr="007B66FA">
        <w:t>На бумажных носителях бухгалтер учреждения осуществляет сдачу отчетности по следующим направлениям:</w:t>
      </w:r>
    </w:p>
    <w:p w14:paraId="2F69AA2B" w14:textId="77777777" w:rsidR="007B66FA" w:rsidRPr="007B66FA" w:rsidRDefault="007B66FA" w:rsidP="007B66FA">
      <w:pPr>
        <w:numPr>
          <w:ilvl w:val="0"/>
          <w:numId w:val="6"/>
        </w:numPr>
      </w:pPr>
      <w:r w:rsidRPr="007B66FA">
        <w:t>Сдача отчетности по налогам, сборам, страховым взносам и иным обязательным платежам в инспекцию Федеральной налоговой службы;</w:t>
      </w:r>
    </w:p>
    <w:p w14:paraId="03B1FA48" w14:textId="77777777" w:rsidR="007B66FA" w:rsidRPr="007B66FA" w:rsidRDefault="007B66FA" w:rsidP="007B66FA">
      <w:pPr>
        <w:numPr>
          <w:ilvl w:val="0"/>
          <w:numId w:val="7"/>
        </w:numPr>
      </w:pPr>
      <w:r w:rsidRPr="007B66FA">
        <w:t>Сдача отчетности в отделение Пенсионного фонда РФ;</w:t>
      </w:r>
    </w:p>
    <w:p w14:paraId="5DDB5AA5" w14:textId="77777777" w:rsidR="007B66FA" w:rsidRPr="007B66FA" w:rsidRDefault="007B66FA" w:rsidP="007B66FA">
      <w:pPr>
        <w:numPr>
          <w:ilvl w:val="0"/>
          <w:numId w:val="8"/>
        </w:numPr>
      </w:pPr>
      <w:proofErr w:type="gramStart"/>
      <w:r w:rsidRPr="007B66FA">
        <w:t>Передача  отчетности</w:t>
      </w:r>
      <w:proofErr w:type="gramEnd"/>
      <w:r w:rsidRPr="007B66FA">
        <w:t xml:space="preserve"> учредителю.</w:t>
      </w:r>
    </w:p>
    <w:p w14:paraId="43315883" w14:textId="77777777" w:rsidR="007B66FA" w:rsidRPr="007B66FA" w:rsidRDefault="007B66FA" w:rsidP="007B66FA">
      <w:pPr>
        <w:numPr>
          <w:ilvl w:val="0"/>
          <w:numId w:val="8"/>
        </w:numPr>
      </w:pPr>
      <w:r w:rsidRPr="007B66FA"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 </w:t>
      </w:r>
    </w:p>
    <w:p w14:paraId="571D7AFF" w14:textId="77777777" w:rsidR="007B66FA" w:rsidRPr="007B66FA" w:rsidRDefault="007B66FA" w:rsidP="007B66FA">
      <w:pPr>
        <w:numPr>
          <w:ilvl w:val="0"/>
          <w:numId w:val="8"/>
        </w:numPr>
      </w:pPr>
      <w:r w:rsidRPr="007B66FA">
        <w:t xml:space="preserve">В целях обеспечения сохранности электронных данных бухгалтерского учета и отчетности: по итогам каждого календарного месяца бухгалтерские регистры, сформированные в </w:t>
      </w:r>
      <w:r w:rsidRPr="007B66FA">
        <w:lastRenderedPageBreak/>
        <w:t>электронном виде, распечатываются на бумажный носитель и подшиваются в отдельные папки в хронологическом порядке.</w:t>
      </w:r>
    </w:p>
    <w:p w14:paraId="21046793" w14:textId="77777777" w:rsidR="007B66FA" w:rsidRPr="007B66FA" w:rsidRDefault="007B66FA" w:rsidP="007B66FA">
      <w:r w:rsidRPr="007B66FA">
        <w:rPr>
          <w:i/>
          <w:iCs/>
        </w:rPr>
        <w:t>             Основание: пункт 19 Инструкции к Единому плану счетов № 157н, пункт 33 Стандарта       </w:t>
      </w:r>
      <w:proofErr w:type="gramStart"/>
      <w:r w:rsidRPr="007B66FA">
        <w:rPr>
          <w:i/>
          <w:iCs/>
        </w:rPr>
        <w:t>   «</w:t>
      </w:r>
      <w:proofErr w:type="gramEnd"/>
      <w:r w:rsidRPr="007B66FA">
        <w:rPr>
          <w:i/>
          <w:iCs/>
        </w:rPr>
        <w:t>Концептуальные основы бухучета и отчетности».</w:t>
      </w:r>
    </w:p>
    <w:p w14:paraId="41062B33" w14:textId="77777777" w:rsidR="007B66FA" w:rsidRPr="007B66FA" w:rsidRDefault="007B66FA" w:rsidP="007B66FA">
      <w:r w:rsidRPr="007B66FA">
        <w:rPr>
          <w:b/>
          <w:bCs/>
        </w:rPr>
        <w:t>4. Правила документооборота.</w:t>
      </w:r>
    </w:p>
    <w:p w14:paraId="24B4113B" w14:textId="77777777" w:rsidR="007B66FA" w:rsidRPr="007B66FA" w:rsidRDefault="007B66FA" w:rsidP="007B66FA">
      <w:r w:rsidRPr="007B66FA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  <w:r w:rsidRPr="007B66FA">
        <w:br/>
        <w:t>        — Самостоятельно разработанные формы</w:t>
      </w:r>
      <w:r w:rsidRPr="007B66FA">
        <w:br/>
        <w:t>        — Унифицированные формы, дополненные необходимыми реквизитами.</w:t>
      </w:r>
      <w:r w:rsidRPr="007B66FA">
        <w:br/>
        <w:t>         Основание: пункты 25–26 Стандарта «Концептуальные основы бухучета и отчетности».</w:t>
      </w:r>
    </w:p>
    <w:p w14:paraId="2B05C5C6" w14:textId="77777777" w:rsidR="007B66FA" w:rsidRPr="007B66FA" w:rsidRDefault="007B66FA" w:rsidP="007B66FA">
      <w:r w:rsidRPr="007B66FA">
        <w:t>Право подписи учетных документов предоставлено должностным лицам учреждения, что закреплено приказами.</w:t>
      </w:r>
    </w:p>
    <w:p w14:paraId="1780FF65" w14:textId="77777777" w:rsidR="007B66FA" w:rsidRPr="007B66FA" w:rsidRDefault="007B66FA" w:rsidP="007B66FA">
      <w:proofErr w:type="gramStart"/>
      <w:r w:rsidRPr="007B66FA">
        <w:rPr>
          <w:i/>
          <w:iCs/>
        </w:rPr>
        <w:t>Основание:,</w:t>
      </w:r>
      <w:proofErr w:type="gramEnd"/>
      <w:r w:rsidRPr="007B66FA">
        <w:rPr>
          <w:i/>
          <w:iCs/>
        </w:rPr>
        <w:t xml:space="preserve"> пункт 33 Стандарта «Концептуальные основы бухучета и отчетности».</w:t>
      </w:r>
    </w:p>
    <w:p w14:paraId="4AD27D96" w14:textId="77777777" w:rsidR="007B66FA" w:rsidRPr="007B66FA" w:rsidRDefault="007B66FA" w:rsidP="007B66FA">
      <w:r w:rsidRPr="007B66FA">
        <w:rPr>
          <w:b/>
          <w:bCs/>
        </w:rPr>
        <w:t>5.   План счетов</w:t>
      </w:r>
    </w:p>
    <w:p w14:paraId="0828D0AB" w14:textId="77777777" w:rsidR="007B66FA" w:rsidRPr="007B66FA" w:rsidRDefault="007B66FA" w:rsidP="007B66FA">
      <w:r w:rsidRPr="007B66FA">
        <w:t>Бухгалтерский учет ведется с использованием Рабочего плана счетов, разработанного в соответствии с Инструкцией к Единому плану счетов № 157н, Инструкцией № 174н.</w:t>
      </w:r>
    </w:p>
    <w:p w14:paraId="20D9D630" w14:textId="77777777" w:rsidR="007B66FA" w:rsidRPr="007B66FA" w:rsidRDefault="007B66FA" w:rsidP="007B66FA">
      <w:r w:rsidRPr="007B66FA">
        <w:t> </w:t>
      </w:r>
      <w:r w:rsidRPr="007B66FA">
        <w:rPr>
          <w:i/>
          <w:iCs/>
        </w:rPr>
        <w:t>Основание: пункты 2 и 6 Инструкции к Единому плану счетов № 157н, пункт 19 Стандарта «Концептуальные основы бухучета и отчетности».</w:t>
      </w:r>
    </w:p>
    <w:p w14:paraId="5FFAAD67" w14:textId="77777777" w:rsidR="007B66FA" w:rsidRPr="007B66FA" w:rsidRDefault="007B66FA" w:rsidP="007B66FA">
      <w:r w:rsidRPr="007B66FA">
        <w:rPr>
          <w:b/>
          <w:bCs/>
        </w:rPr>
        <w:t>6.   Учет отдельных видов имущества и обязательств.</w:t>
      </w:r>
    </w:p>
    <w:p w14:paraId="2EDB2A93" w14:textId="77777777" w:rsidR="007B66FA" w:rsidRPr="007B66FA" w:rsidRDefault="007B66FA" w:rsidP="007B66FA">
      <w:r w:rsidRPr="007B66FA">
        <w:t>Бухучет ведется по первичным документам, которые проверены бухгалтером в соответствии с положением о внутреннем финансовом контроле. </w:t>
      </w:r>
      <w:r w:rsidRPr="007B66FA">
        <w:rPr>
          <w:i/>
          <w:iCs/>
        </w:rPr>
        <w:t>          </w:t>
      </w:r>
    </w:p>
    <w:p w14:paraId="28FD214C" w14:textId="77777777" w:rsidR="007B66FA" w:rsidRPr="007B66FA" w:rsidRDefault="007B66FA" w:rsidP="007B66FA">
      <w:r w:rsidRPr="007B66FA">
        <w:rPr>
          <w:i/>
          <w:iCs/>
        </w:rPr>
        <w:t>Основание: пункт 3 Инструкции к Единому плану счетов № 157н, пункт 23 Стандарта «Концептуальные основы бухучета и отчетности».</w:t>
      </w:r>
    </w:p>
    <w:p w14:paraId="11F31690" w14:textId="77777777" w:rsidR="007B66FA" w:rsidRPr="007B66FA" w:rsidRDefault="007B66FA" w:rsidP="007B66FA">
      <w:r w:rsidRPr="007B66FA">
        <w:t>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14:paraId="35B53D66" w14:textId="77777777" w:rsidR="007B66FA" w:rsidRPr="007B66FA" w:rsidRDefault="007B66FA" w:rsidP="007B66FA">
      <w:r w:rsidRPr="007B66FA">
        <w:rPr>
          <w:i/>
          <w:iCs/>
        </w:rPr>
        <w:t>        Основание: пункт 54 СГС «Концептуальные основы бухучета и отчетности</w:t>
      </w:r>
      <w:r w:rsidRPr="007B66FA">
        <w:t>.</w:t>
      </w:r>
    </w:p>
    <w:p w14:paraId="0501368B" w14:textId="77777777" w:rsidR="007B66FA" w:rsidRPr="007B66FA" w:rsidRDefault="007B66FA" w:rsidP="007B66FA">
      <w:r w:rsidRPr="007B66FA">
        <w:t xml:space="preserve"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</w:t>
      </w:r>
      <w:proofErr w:type="gramStart"/>
      <w:r w:rsidRPr="007B66FA">
        <w:t>суждением  бухгалтера</w:t>
      </w:r>
      <w:proofErr w:type="gramEnd"/>
      <w:r w:rsidRPr="007B66FA">
        <w:t>.</w:t>
      </w:r>
    </w:p>
    <w:p w14:paraId="1A9626B9" w14:textId="77777777" w:rsidR="007B66FA" w:rsidRPr="007B66FA" w:rsidRDefault="007B66FA" w:rsidP="007B66FA">
      <w:r w:rsidRPr="007B66FA">
        <w:rPr>
          <w:i/>
          <w:iCs/>
        </w:rPr>
        <w:t xml:space="preserve">    Основание: пункт 6 СГС </w:t>
      </w:r>
      <w:proofErr w:type="gramStart"/>
      <w:r w:rsidRPr="007B66FA">
        <w:rPr>
          <w:i/>
          <w:iCs/>
        </w:rPr>
        <w:t>« Учетная</w:t>
      </w:r>
      <w:proofErr w:type="gramEnd"/>
      <w:r w:rsidRPr="007B66FA">
        <w:rPr>
          <w:i/>
          <w:iCs/>
        </w:rPr>
        <w:t xml:space="preserve"> политика ,оценочные значения и ошибки».</w:t>
      </w:r>
    </w:p>
    <w:p w14:paraId="0D5851D7" w14:textId="77777777" w:rsidR="007B66FA" w:rsidRPr="007B66FA" w:rsidRDefault="007B66FA" w:rsidP="007B66FA">
      <w:r w:rsidRPr="007B66FA">
        <w:t xml:space="preserve">В составе основных средств материальные объекты имущества, независимо от их стоимости, со сроком полезного использования более 12 месяцев. Перечень объектов, которые относятся к группе «Производственный и хозяйственный </w:t>
      </w:r>
      <w:proofErr w:type="spellStart"/>
      <w:proofErr w:type="gramStart"/>
      <w:r w:rsidRPr="007B66FA">
        <w:t>инвентарь»определен</w:t>
      </w:r>
      <w:proofErr w:type="spellEnd"/>
      <w:proofErr w:type="gramEnd"/>
      <w:r w:rsidRPr="007B66FA">
        <w:t xml:space="preserve"> в приложении к Учетной политике.</w:t>
      </w:r>
    </w:p>
    <w:p w14:paraId="1048554A" w14:textId="77777777" w:rsidR="007B66FA" w:rsidRPr="007B66FA" w:rsidRDefault="007B66FA" w:rsidP="007B66FA">
      <w:r w:rsidRPr="007B66FA">
        <w:t>Срок полезного использования объектов основных средств устанавливает комиссия по поступлению и выбытию в соответствии с пунктом 35 Стандарта «Основные средства». Состав комиссии по поступлению и выбытию активов установлен в приложении Учетной политики.</w:t>
      </w:r>
    </w:p>
    <w:p w14:paraId="41FCA37E" w14:textId="77777777" w:rsidR="007B66FA" w:rsidRPr="007B66FA" w:rsidRDefault="007B66FA" w:rsidP="007B66FA">
      <w:r w:rsidRPr="007B66FA">
        <w:t>Начисление амортизации осуществляется – линейным методом.</w:t>
      </w:r>
    </w:p>
    <w:p w14:paraId="1418E7AD" w14:textId="77777777" w:rsidR="007B66FA" w:rsidRPr="007B66FA" w:rsidRDefault="007B66FA" w:rsidP="007B66FA">
      <w:r w:rsidRPr="007B66FA">
        <w:rPr>
          <w:i/>
          <w:iCs/>
        </w:rPr>
        <w:lastRenderedPageBreak/>
        <w:t>   Основание, пункты 36, 37 Стандарта «Основные средства».</w:t>
      </w:r>
    </w:p>
    <w:p w14:paraId="1A7C9597" w14:textId="77777777" w:rsidR="007B66FA" w:rsidRPr="007B66FA" w:rsidRDefault="007B66FA" w:rsidP="007B66FA">
      <w:r w:rsidRPr="007B66FA">
        <w:t>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 к Учетной политике. </w:t>
      </w:r>
    </w:p>
    <w:p w14:paraId="38838F1B" w14:textId="77777777" w:rsidR="007B66FA" w:rsidRPr="007B66FA" w:rsidRDefault="007B66FA" w:rsidP="007B66FA">
      <w:r w:rsidRPr="007B66FA">
        <w:t>Списание материальных запасов производится по средней фактической стоимости.</w:t>
      </w:r>
    </w:p>
    <w:p w14:paraId="2A15E310" w14:textId="77777777" w:rsidR="007B66FA" w:rsidRPr="007B66FA" w:rsidRDefault="007B66FA" w:rsidP="007B66FA">
      <w:r w:rsidRPr="007B66FA">
        <w:rPr>
          <w:i/>
          <w:iCs/>
        </w:rPr>
        <w:t>Основание: пункт 108 Инструкции к Единому плану счетов № 157н</w:t>
      </w:r>
    </w:p>
    <w:p w14:paraId="24B4B801" w14:textId="77777777" w:rsidR="007B66FA" w:rsidRPr="007B66FA" w:rsidRDefault="007B66FA" w:rsidP="007B66FA">
      <w:r w:rsidRPr="007B66FA">
        <w:t>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14:paraId="4403B403" w14:textId="77777777" w:rsidR="007B66FA" w:rsidRPr="007B66FA" w:rsidRDefault="007B66FA" w:rsidP="007B66FA">
      <w:r w:rsidRPr="007B66FA">
        <w:t>— их справедливой стоимости на дату принятия к бухгалтерскому учету, рассчитанной методом рыночных цен;</w:t>
      </w:r>
    </w:p>
    <w:p w14:paraId="5D1DB307" w14:textId="77777777" w:rsidR="007B66FA" w:rsidRPr="007B66FA" w:rsidRDefault="007B66FA" w:rsidP="007B66FA">
      <w:r w:rsidRPr="007B66FA">
        <w:t>— сумм, уплачиваемых учреждением за доставку материальных запасов, приведение их в состояние, пригодное для использования.</w:t>
      </w:r>
    </w:p>
    <w:p w14:paraId="5769E883" w14:textId="77777777" w:rsidR="007B66FA" w:rsidRPr="007B66FA" w:rsidRDefault="007B66FA" w:rsidP="007B66FA">
      <w:r w:rsidRPr="007B66FA">
        <w:rPr>
          <w:i/>
          <w:iCs/>
        </w:rPr>
        <w:t>Основание: пункты 52–60 Стандарта «Концептуальные основы бухучета и отчетности»</w:t>
      </w:r>
    </w:p>
    <w:p w14:paraId="1509C2AF" w14:textId="77777777" w:rsidR="007B66FA" w:rsidRPr="007B66FA" w:rsidRDefault="007B66FA" w:rsidP="007B66FA">
      <w:r w:rsidRPr="007B66FA">
        <w:t>Учреждение применяет счет 109.71 «Накладные расходы». В составе накладных расходов учитываются следующие затраты:</w:t>
      </w:r>
    </w:p>
    <w:p w14:paraId="327E65ED" w14:textId="77777777" w:rsidR="007B66FA" w:rsidRPr="007B66FA" w:rsidRDefault="007B66FA" w:rsidP="007B66FA">
      <w:r w:rsidRPr="007B66FA">
        <w:t>— затраты на оплату труда и начисления на выплаты по оплате труда сотрудников учреждения, непосредственно участвующих в оказании услуги;</w:t>
      </w:r>
    </w:p>
    <w:p w14:paraId="36191156" w14:textId="77777777" w:rsidR="007B66FA" w:rsidRPr="007B66FA" w:rsidRDefault="007B66FA" w:rsidP="007B66FA">
      <w:r w:rsidRPr="007B66FA">
        <w:t>— затраты на услуги связи;</w:t>
      </w:r>
    </w:p>
    <w:p w14:paraId="7ABADAB8" w14:textId="77777777" w:rsidR="007B66FA" w:rsidRPr="007B66FA" w:rsidRDefault="007B66FA" w:rsidP="007B66FA">
      <w:r w:rsidRPr="007B66FA">
        <w:t>— затраты по коммунальным услугам;</w:t>
      </w:r>
    </w:p>
    <w:p w14:paraId="6D65B3CF" w14:textId="77777777" w:rsidR="007B66FA" w:rsidRPr="007B66FA" w:rsidRDefault="007B66FA" w:rsidP="007B66FA">
      <w:r w:rsidRPr="007B66FA">
        <w:t>— затраты по работам, услугам по содержанию имущества;</w:t>
      </w:r>
    </w:p>
    <w:p w14:paraId="71B00CD9" w14:textId="77777777" w:rsidR="007B66FA" w:rsidRPr="007B66FA" w:rsidRDefault="007B66FA" w:rsidP="007B66FA">
      <w:r w:rsidRPr="007B66FA">
        <w:t>— затраты по прочим работам, услугам.</w:t>
      </w:r>
    </w:p>
    <w:p w14:paraId="09E9DC64" w14:textId="77777777" w:rsidR="007B66FA" w:rsidRPr="007B66FA" w:rsidRDefault="007B66FA" w:rsidP="007B66FA">
      <w:r w:rsidRPr="007B66FA">
        <w:t xml:space="preserve">Накладные расходы </w:t>
      </w:r>
      <w:proofErr w:type="gramStart"/>
      <w:r w:rsidRPr="007B66FA">
        <w:t>распределяются  между</w:t>
      </w:r>
      <w:proofErr w:type="gramEnd"/>
      <w:r w:rsidRPr="007B66FA">
        <w:t xml:space="preserve"> источниками финансового обеспечения( субсидия на выполнение государственного задания и приносящая доход деятельность) пропорционально доходам. Распределение производится нарастающим итогом.</w:t>
      </w:r>
    </w:p>
    <w:p w14:paraId="6BB8B008" w14:textId="77777777" w:rsidR="007B66FA" w:rsidRPr="007B66FA" w:rsidRDefault="007B66FA" w:rsidP="007B66FA">
      <w:r w:rsidRPr="007B66FA">
        <w:t>В части не распределяемых расходов – затраты относятся на увеличение расходов текущего финансового года.</w:t>
      </w:r>
    </w:p>
    <w:p w14:paraId="27461C97" w14:textId="77777777" w:rsidR="007B66FA" w:rsidRPr="007B66FA" w:rsidRDefault="007B66FA" w:rsidP="007B66FA">
      <w:r w:rsidRPr="007B66FA">
        <w:t>Расходы, которые не включаются в накладные расходы (</w:t>
      </w:r>
      <w:proofErr w:type="spellStart"/>
      <w:r w:rsidRPr="007B66FA">
        <w:t>нераспределяемые</w:t>
      </w:r>
      <w:proofErr w:type="spellEnd"/>
      <w:r w:rsidRPr="007B66FA">
        <w:t xml:space="preserve"> расходы) сразу списываются на финансовый результат текущего года.</w:t>
      </w:r>
    </w:p>
    <w:p w14:paraId="47C3A618" w14:textId="77777777" w:rsidR="007B66FA" w:rsidRPr="007B66FA" w:rsidRDefault="007B66FA" w:rsidP="007B66FA">
      <w:r w:rsidRPr="007B66FA">
        <w:t>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  <w:r w:rsidRPr="007B66FA">
        <w:br/>
      </w:r>
      <w:r w:rsidRPr="007B66FA">
        <w:rPr>
          <w:i/>
          <w:iCs/>
        </w:rPr>
        <w:t>Основание: пункт 25 Стандарта «</w:t>
      </w:r>
      <w:proofErr w:type="spellStart"/>
      <w:r w:rsidRPr="007B66FA">
        <w:rPr>
          <w:i/>
          <w:iCs/>
        </w:rPr>
        <w:t>Аренда»</w:t>
      </w:r>
      <w:proofErr w:type="gramStart"/>
      <w:r w:rsidRPr="007B66FA">
        <w:rPr>
          <w:i/>
          <w:iCs/>
        </w:rPr>
        <w:t>.,подпункт</w:t>
      </w:r>
      <w:proofErr w:type="spellEnd"/>
      <w:proofErr w:type="gramEnd"/>
      <w:r w:rsidRPr="007B66FA">
        <w:rPr>
          <w:i/>
          <w:iCs/>
        </w:rPr>
        <w:t xml:space="preserve"> «а» пункта 55 СГС «Доходы».</w:t>
      </w:r>
    </w:p>
    <w:p w14:paraId="37C7CD5F" w14:textId="77777777" w:rsidR="007B66FA" w:rsidRPr="007B66FA" w:rsidRDefault="007B66FA" w:rsidP="007B66FA">
      <w:r w:rsidRPr="007B66FA">
        <w:t>Доходы от оказания платных услуг по долгосрочным договорам (абонементам) признаются в учете в составе доходов будущих периодов в сумме, единовременно полученной за предстоящие услуги. Доходы будущих периодов признаются в текущих доходах равномерно в последний день каждого месяца в разрезе договора (абонемента).</w:t>
      </w:r>
    </w:p>
    <w:p w14:paraId="071E8983" w14:textId="77777777" w:rsidR="007B66FA" w:rsidRPr="007B66FA" w:rsidRDefault="007B66FA" w:rsidP="007B66FA">
      <w:r w:rsidRPr="007B66FA">
        <w:rPr>
          <w:i/>
          <w:iCs/>
        </w:rPr>
        <w:t>    Основание: пункт 301 Инструкции к Единому плану счетов №157</w:t>
      </w:r>
      <w:proofErr w:type="gramStart"/>
      <w:r w:rsidRPr="007B66FA">
        <w:rPr>
          <w:i/>
          <w:iCs/>
        </w:rPr>
        <w:t>н ,подпункт</w:t>
      </w:r>
      <w:proofErr w:type="gramEnd"/>
      <w:r w:rsidRPr="007B66FA">
        <w:rPr>
          <w:i/>
          <w:iCs/>
        </w:rPr>
        <w:t xml:space="preserve"> «а» пункта 55 СГС «Доходы».</w:t>
      </w:r>
    </w:p>
    <w:p w14:paraId="398E0B75" w14:textId="77777777" w:rsidR="007B66FA" w:rsidRPr="007B66FA" w:rsidRDefault="007B66FA" w:rsidP="007B66FA">
      <w:r w:rsidRPr="007B66FA">
        <w:lastRenderedPageBreak/>
        <w:t>Учреждение осуществляет все расходы в пределах утвержденного на текущий год плана финансово-хозяйственной деятельности.</w:t>
      </w:r>
    </w:p>
    <w:p w14:paraId="195A4912" w14:textId="77777777" w:rsidR="007B66FA" w:rsidRPr="007B66FA" w:rsidRDefault="007B66FA" w:rsidP="007B66FA">
      <w:r w:rsidRPr="007B66FA">
        <w:t>В составе расходов будущих периодов отражаются расходы по:</w:t>
      </w:r>
    </w:p>
    <w:p w14:paraId="37B1E88B" w14:textId="77777777" w:rsidR="007B66FA" w:rsidRPr="007B66FA" w:rsidRDefault="007B66FA" w:rsidP="007B66FA">
      <w:r w:rsidRPr="007B66FA">
        <w:t>Страхованию имущества, гражданской ответственности;</w:t>
      </w:r>
    </w:p>
    <w:p w14:paraId="3F32EE65" w14:textId="77777777" w:rsidR="007B66FA" w:rsidRPr="007B66FA" w:rsidRDefault="007B66FA" w:rsidP="007B66FA">
      <w:r w:rsidRPr="007B66FA">
        <w:t>Приобретению неисключительного права пользования нематериальными активами в течение нескольких отчетных периодов;</w:t>
      </w:r>
    </w:p>
    <w:p w14:paraId="1FF060A0" w14:textId="77777777" w:rsidR="007B66FA" w:rsidRPr="007B66FA" w:rsidRDefault="007B66FA" w:rsidP="007B66FA">
      <w:r w:rsidRPr="007B66FA"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</w:p>
    <w:p w14:paraId="63B79BFC" w14:textId="77777777" w:rsidR="007B66FA" w:rsidRPr="007B66FA" w:rsidRDefault="007B66FA" w:rsidP="007B66FA">
      <w:r w:rsidRPr="007B66FA">
        <w:t>В учреждении создаются:</w:t>
      </w:r>
      <w:r w:rsidRPr="007B66FA">
        <w:br/>
        <w:t xml:space="preserve">— Резерв на предстоящую оплату отпусков. Порядок расчета резерва приведен в приложении       </w:t>
      </w:r>
      <w:proofErr w:type="gramStart"/>
      <w:r w:rsidRPr="007B66FA">
        <w:t>к  Учетной</w:t>
      </w:r>
      <w:proofErr w:type="gramEnd"/>
      <w:r w:rsidRPr="007B66FA">
        <w:t xml:space="preserve"> политике.</w:t>
      </w:r>
    </w:p>
    <w:p w14:paraId="15E805CA" w14:textId="77777777" w:rsidR="007B66FA" w:rsidRPr="007B66FA" w:rsidRDefault="007B66FA" w:rsidP="007B66FA">
      <w:r w:rsidRPr="007B66FA">
        <w:t xml:space="preserve">-Резерв по сомнительным долгам при необходимости на основании решения комиссии по поступлению и выбытию активов о признании задолженности </w:t>
      </w:r>
      <w:proofErr w:type="gramStart"/>
      <w:r w:rsidRPr="007B66FA">
        <w:t>сомнительной  по</w:t>
      </w:r>
      <w:proofErr w:type="gramEnd"/>
      <w:r w:rsidRPr="007B66FA">
        <w:t xml:space="preserve"> результатам инвентаризации. Величина резерва устанавливается в размере выявленной сомнительной задолженности. Резерв по сомнительным долгам создается в конце каждого отчетного периода, не позднее последнего дня отчетного</w:t>
      </w:r>
    </w:p>
    <w:p w14:paraId="0132D7CD" w14:textId="77777777" w:rsidR="007B66FA" w:rsidRPr="007B66FA" w:rsidRDefault="007B66FA" w:rsidP="007B66FA">
      <w:r w:rsidRPr="007B66FA">
        <w:rPr>
          <w:i/>
          <w:iCs/>
        </w:rPr>
        <w:t>         Основание: пункты 302, 302.1 Инструкции к Единому плану счетов № 157</w:t>
      </w:r>
      <w:proofErr w:type="gramStart"/>
      <w:r w:rsidRPr="007B66FA">
        <w:rPr>
          <w:i/>
          <w:iCs/>
        </w:rPr>
        <w:t>н.,пункт</w:t>
      </w:r>
      <w:proofErr w:type="gramEnd"/>
      <w:r w:rsidRPr="007B66FA">
        <w:rPr>
          <w:i/>
          <w:iCs/>
        </w:rPr>
        <w:t xml:space="preserve"> 11 СГС «Доходы».</w:t>
      </w:r>
    </w:p>
    <w:p w14:paraId="168D768B" w14:textId="77777777" w:rsidR="007B66FA" w:rsidRPr="007B66FA" w:rsidRDefault="007B66FA" w:rsidP="007B66FA">
      <w:r w:rsidRPr="007B66FA">
        <w:rPr>
          <w:b/>
          <w:bCs/>
        </w:rPr>
        <w:t>7. Бухгалтерская (финансовая) отчетность.</w:t>
      </w:r>
    </w:p>
    <w:p w14:paraId="4C096646" w14:textId="77777777" w:rsidR="007B66FA" w:rsidRPr="007B66FA" w:rsidRDefault="007B66FA" w:rsidP="007B66FA">
      <w:r w:rsidRPr="007B66FA">
        <w:t>Бухгалтерская (финансовая) отчетность составляется на основании аналитического и синтетического учета по формам, в объеме и в сроки, установленные учредителем и Инструкцией о порядке составления, представления годовой квартальной отчетности государственных (муниципальных) бюджетных и автономных учреждений (приказ Минфина России от 25 марта 2011 г. № 33н).</w:t>
      </w:r>
    </w:p>
    <w:p w14:paraId="1FA55E1E" w14:textId="77777777" w:rsidR="007B66FA" w:rsidRPr="007B66FA" w:rsidRDefault="007B66FA" w:rsidP="007B66FA">
      <w:r w:rsidRPr="007B66FA">
        <w:t>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 0503760).</w:t>
      </w:r>
    </w:p>
    <w:p w14:paraId="2618560E" w14:textId="77777777" w:rsidR="007B66FA" w:rsidRPr="007B66FA" w:rsidRDefault="007B66FA" w:rsidP="007B66FA">
      <w:r w:rsidRPr="007B66FA">
        <w:t xml:space="preserve">Признание в учете и раскрытие в бухгалтерской отчетности событий после отчетной даты осуществляется в порядке </w:t>
      </w:r>
      <w:proofErr w:type="gramStart"/>
      <w:r w:rsidRPr="007B66FA">
        <w:t>согласно приложения</w:t>
      </w:r>
      <w:proofErr w:type="gramEnd"/>
      <w:r w:rsidRPr="007B66FA">
        <w:t xml:space="preserve"> к Учетной политике</w:t>
      </w:r>
      <w:r w:rsidRPr="007B66FA">
        <w:rPr>
          <w:b/>
          <w:bCs/>
        </w:rPr>
        <w:t>.</w:t>
      </w:r>
    </w:p>
    <w:p w14:paraId="0EAA108F" w14:textId="77777777" w:rsidR="007B66FA" w:rsidRPr="007B66FA" w:rsidRDefault="007B66FA" w:rsidP="007B66FA">
      <w:r w:rsidRPr="007B66FA">
        <w:t>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14:paraId="2D49FDA4" w14:textId="77777777" w:rsidR="007B66FA" w:rsidRPr="007B66FA" w:rsidRDefault="007B66FA" w:rsidP="007B66FA">
      <w:r w:rsidRPr="007B66FA">
        <w:rPr>
          <w:i/>
          <w:iCs/>
        </w:rPr>
        <w:t>Основание: часть 19 СГС «Отчет о движении денежных средств».</w:t>
      </w:r>
    </w:p>
    <w:p w14:paraId="0A943F31" w14:textId="77777777" w:rsidR="007B66FA" w:rsidRPr="007B66FA" w:rsidRDefault="007B66FA" w:rsidP="007B66FA">
      <w:r w:rsidRPr="007B66FA">
        <w:t>Классификация денежных потоков производится в соответствии с пунктом 7 СГС «Отчет о движении денежных средств» по правилам, установленным в пунктах 8-10 СГС «Отчет о движении денежных средств».</w:t>
      </w:r>
    </w:p>
    <w:p w14:paraId="744900A2" w14:textId="77777777" w:rsidR="007B66FA" w:rsidRPr="007B66FA" w:rsidRDefault="007B66FA" w:rsidP="007B66FA">
      <w:r w:rsidRPr="007B66FA">
        <w:rPr>
          <w:b/>
          <w:bCs/>
        </w:rPr>
        <w:t xml:space="preserve">8. Порядок передачи документов бухгалтерского учета при смене руководителя </w:t>
      </w:r>
      <w:proofErr w:type="gramStart"/>
      <w:r w:rsidRPr="007B66FA">
        <w:rPr>
          <w:b/>
          <w:bCs/>
        </w:rPr>
        <w:t>и  бухгалтера</w:t>
      </w:r>
      <w:proofErr w:type="gramEnd"/>
      <w:r w:rsidRPr="007B66FA">
        <w:rPr>
          <w:b/>
          <w:bCs/>
        </w:rPr>
        <w:t>.</w:t>
      </w:r>
    </w:p>
    <w:p w14:paraId="2FAA2BC8" w14:textId="77777777" w:rsidR="007B66FA" w:rsidRPr="007B66FA" w:rsidRDefault="007B66FA" w:rsidP="007B66FA">
      <w:r w:rsidRPr="007B66FA">
        <w:t xml:space="preserve">При смене руководителя </w:t>
      </w:r>
      <w:proofErr w:type="gramStart"/>
      <w:r w:rsidRPr="007B66FA">
        <w:t>или  бухгалтера</w:t>
      </w:r>
      <w:proofErr w:type="gramEnd"/>
      <w:r w:rsidRPr="007B66FA">
        <w:t xml:space="preserve"> учреждения (далее – увольняемые лица) они обязаны в рамках передачи дел заместителю, новому должностному лицу, иному уполномоченному должностному лицу учреждения (далее – уполномоченное лицо) передать документы бухгалтерского учета, а также печати и штампы, хранящиеся в бухгалтерии. Передача </w:t>
      </w:r>
      <w:r w:rsidRPr="007B66FA">
        <w:lastRenderedPageBreak/>
        <w:t>бухгалтерских документов и печатей проводится на основании приказа руководителя учреждения. Передача документов бухучета, печатей и штампов осуществляется при участии комиссии, создаваемой в учреждении. Акт приема-передачи дел составляется в трех экземплярах: 1-й экземпляр </w:t>
      </w:r>
      <w:proofErr w:type="gramStart"/>
      <w:r w:rsidRPr="007B66FA">
        <w:t>–  учредителю</w:t>
      </w:r>
      <w:proofErr w:type="gramEnd"/>
      <w:r w:rsidRPr="007B66FA">
        <w:t xml:space="preserve"> (руководителю учреждения, если увольняется  бухгалтер), 2-й экземпляр – увольняемому лицу, 3-й экземпляр – уполномоченному лицу, которое принимало дела.</w:t>
      </w:r>
    </w:p>
    <w:p w14:paraId="474EDE46" w14:textId="77777777" w:rsidR="002E6ED6" w:rsidRDefault="002E6ED6"/>
    <w:sectPr w:rsidR="002E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27553"/>
    <w:multiLevelType w:val="multilevel"/>
    <w:tmpl w:val="676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A32E1"/>
    <w:multiLevelType w:val="multilevel"/>
    <w:tmpl w:val="1D5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0D0E05"/>
    <w:multiLevelType w:val="multilevel"/>
    <w:tmpl w:val="063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1571F"/>
    <w:multiLevelType w:val="multilevel"/>
    <w:tmpl w:val="1154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A64E1"/>
    <w:multiLevelType w:val="multilevel"/>
    <w:tmpl w:val="9B0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EC6EF1"/>
    <w:multiLevelType w:val="multilevel"/>
    <w:tmpl w:val="B8F2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B16FF3"/>
    <w:multiLevelType w:val="multilevel"/>
    <w:tmpl w:val="FBF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AE4980"/>
    <w:multiLevelType w:val="multilevel"/>
    <w:tmpl w:val="CA50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8019262">
    <w:abstractNumId w:val="3"/>
  </w:num>
  <w:num w:numId="2" w16cid:durableId="1556549944">
    <w:abstractNumId w:val="2"/>
  </w:num>
  <w:num w:numId="3" w16cid:durableId="1680736818">
    <w:abstractNumId w:val="0"/>
  </w:num>
  <w:num w:numId="4" w16cid:durableId="984512455">
    <w:abstractNumId w:val="7"/>
  </w:num>
  <w:num w:numId="5" w16cid:durableId="792670747">
    <w:abstractNumId w:val="6"/>
  </w:num>
  <w:num w:numId="6" w16cid:durableId="1439833184">
    <w:abstractNumId w:val="5"/>
  </w:num>
  <w:num w:numId="7" w16cid:durableId="941573180">
    <w:abstractNumId w:val="1"/>
  </w:num>
  <w:num w:numId="8" w16cid:durableId="1072387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D"/>
    <w:rsid w:val="002E6ED6"/>
    <w:rsid w:val="007B66FA"/>
    <w:rsid w:val="00B1454D"/>
    <w:rsid w:val="00D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9CE4-8C96-44E0-97CE-E96E87A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Тимохина Ольга Евгеньевна</dc:creator>
  <cp:keywords/>
  <dc:description/>
  <cp:lastModifiedBy>Тимохина Ольга Евгеньевна</cp:lastModifiedBy>
  <cp:revision>2</cp:revision>
  <dcterms:created xsi:type="dcterms:W3CDTF">2024-08-23T08:18:00Z</dcterms:created>
  <dcterms:modified xsi:type="dcterms:W3CDTF">2024-08-23T08:18:00Z</dcterms:modified>
</cp:coreProperties>
</file>